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161</w:t>
      </w:r>
    </w:p>
    <w:p>
      <w:r>
        <w:t>Bundesgericht (BGE), 1993-05-13, DE</w:t>
      </w:r>
    </w:p>
    <w:p>
      <w:r>
        <w:rPr>
          <w:b/>
        </w:rPr>
        <w:t xml:space="preserve">Quelle: </w:t>
      </w:r>
      <w:r>
        <w:t>https://mcp.opencaselaw.ch/entscheid/bge_119 V 161</w:t>
      </w:r>
    </w:p>
    <w:p>
      <w:r>
        <w:t>FR: ATF 119 V 161</w:t>
      </w:r>
    </w:p>
    <w:p>
      <w:r>
        <w:t>IT: DTF 119 V 161</w:t>
      </w:r>
    </w:p>
    <w:p>
      <w:pPr>
        <w:pStyle w:val="Heading2"/>
      </w:pPr>
      <w:r>
        <w:t>Regeste</w:t>
      </w:r>
    </w:p>
    <w:p>
      <w:r>
        <w:t>Regeste Art. 5 Abs. 2, Art. 9 Abs. 1 AHVG: Beitragsstatut des freien Journalisten. Freierwerbenden Journalisten, welche regelmässig für die nämliche Zeitschrift arbeiten, kommt für diese Tätigkeit in der Regel die Stellung eines Unselbständigerwerbenden zu.</w:t>
      </w:r>
    </w:p>
    <w:p>
      <w:pPr>
        <w:pStyle w:val="Heading2"/>
      </w:pPr>
      <w:r>
        <w:t>Erwägungen</w:t>
      </w:r>
    </w:p>
    <w:p>
      <w:r>
        <w:rPr>
          <w:b/>
        </w:rPr>
        <w:t>E. 2</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BGE 119 V 161 S. 162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115 V 1 E. 3a, BGE 114 V 68 E. 2a, 110 V 78 E. 4a mit Hinweisen).</w:t>
      </w:r>
    </w:p>
    <w:p>
      <w:r>
        <w:rPr>
          <w:b/>
        </w:rPr>
        <w:t>E. 3</w:t>
      </w:r>
    </w:p>
    <w:p>
      <w:r>
        <w:t>Im vorliegenden Fall geht aus den Akten hervor und ist unbestritten, dass U. K. als freier Journalist in den Jahren 1986 bis 1989 für die von der Beschwerdeführerin herausgegebene Wochenfachzeitschrift "T." nach vorheriger Absprache verschiedene Artikel verfasst und dafür Entgelte in der Höhe von jährlich Fr. 800.-- (1986), Fr. 2'830.-- (1987), Fr. 4'286.-- (1988) sowie von Fr. 6'326.-- (1989) erhalten hat. Streitig und zu prüfen ist indes, ob es sich bei diesen Vergütungen um Einkommen aus selbständiger oder unselbständiger Tätigkeit handelt. a) Gemäss der Wegleitung des Bundesamtes für Sozialversicherung (BSV) über den massgebenden Lohn (WML) vom 1. Januar 1977 gehören die Entgelte der Journalisten zum massgebenden Lohn (Rz. 4076 WML). Als Einkommen aus selbständiger Erwerbstätigkeit gelten die Vergütungen bloss dann, wenn sie für unaufgefordert und nur gelegentlich publizierte Artikel nicht regelmässiger Mitarbeiter gewährt werden (Rz. 4078 WML). In Anwendung dieser Verwaltungspraxis gelangte die Rekurskommission zum Schluss, dass es sich bei den fraglichen Entgelten um solche aus unselbständiger Erwerbstätigkeit handle, da U. K. zwischen 1986 und 1989 regelmässig für die Beschwerdeführerin gearbeitet habe. Zudem belegten die Vermerke auf den jeweiligen Abrechnungen, dass den einzelnen Beiträgen der Auftrag eines Redaktors vorausgegangen sei, womit sich BGE 119 V 161 S. 163 der Mitinteressierte in ein Abhängigkeits- und Unterordnungsverhältnis mit entsprechendem Weisungsrecht des Auftraggebers begeben habe. Daran vermöge der Umstand nichts zu ändern, dass der Journalist sachbedingt in der Organisation seiner Tätigkeit frei sei und sich betriebswirtschaftlich (mit Ausnahme des Ablieferungstermins) wenig unterordnen müsse. b) Diese Betrachtungsweise kann nicht als bundesrechtswidrig bezeichnet werden. Bei der Beurteilung der Frage, ob die Tätigkeit eines freiberuflichen Journalisten selbständiger oder unselbständiger Natur ist, kommt dem Unternehmerrisiko selten eine statusentscheidende Bedeutung zu (KÄSER, Unterstellung und Beitragswesen in der obligatorischen AHV, S. 119 Rz. 4.65). Denn der freie Journalist hat für die Ausübung seines Berufes in der Regel weder beträchtliche Investitionen zu tätigen noch Angestelltenlöhne zu bezahlen, welche Merkmale das Unternehmerrisiko praxisgemäss charakterisieren (vgl. ZAK 1986 S. 333 E. 2d, 1982 S. 215 und 1980 S. 118). Aber auch das Begriffsmerkmal der arbeitsorganisatorischen Abhängigkeit wird beim freien Journalisten häufig nicht derart sein, dass daraus ohne weiteres auf unselbständige Erwerbstätigkeit geschlossen werden könnte (vgl. KÄSER, a.a.O., S. 119 Rz. 4.65). Es lässt sich daher nicht beanstanden, dass das Bundesamt - in Absprache mit den Sozialpartnern (Verleger, Journalisten; vgl. KÄSER, a.a.O., S. 120 Rz. 4.65) - im Hinblick auf eine gleichmässige Gesetzesanwendung dem Element der regelmässigen Arbeitsleistung für einen Verlag eine massgebliche Bedeutung zumisst. Denn wer seine Artikel regelmässig für dieselbe Zeitschrift oder denselben Verlag verfasst, begibt sich damit insofern in ein gewisses Abhängigkeitsverhältnis, als bei Dahinfallen dieses Erwerbsverhältnisses eine ähnliche Situation eintritt, wie dies beim Stellenverlust eines Arbeitnehmers der Fall ist. Dies hat zur Folge, dass damit den freierwerbenden Journalisten, welche regelmässig für die nämliche Zeitschrift arbeiten, für diese Tätigkeit in der Regel AHV-rechtlich die Stellung eines Unselbständigerwerbenden zukommt. Es verhält sich aber diesbezüglich nicht anders als bei Agenten (ZAK 1988 S. 378 E. 2b, 1986 S. 121 E. 2b und S. 575 E. 2b mit Hinweisen) und Reisevertretern (ZAK 1980 S. 325 E. 2), die praxisgemäss nur als selbständigerwerbend gelten, wenn sie kumulativ eigene Geschäftsräumlichkeiten benützen, eigenes Personal beschäftigen und die Geschäftskosten im wesentlichen selber tragen (vgl. auch Rz. 4028 WML), welche Kriterien der Bundesrat für die obligatorische Unfallversicherung BGE 119 V 161 S. 164 in Art. 2 lit. b Ziff. 2 UVV übernommen hat. Zudem hat der Bundesrat in seinem Entscheid vom 11. September 1985 festgestellt, dass die (freien) Journalisten in der AHV praktisch ausnahmslos die Stellung von Unselbständigerwerbenden einnehmen würden, weshalb sie auch in der beruflichen Vorsorge als Arbeitnehmer zu qualifizieren seien (VPB 51 (1987) Nr. 16 S. 98). Die Verwaltungspraxis erweist sich daher auch unter dem Gesichtspunkt einer harmonisierenden Auslegung als Rechtens. Wie das Eidg. Versicherungsgericht im Urteil H. vom 7. August 1992 (RKUV 1992 Nr. U 155 S. 251) entschieden hat, hat die Rechtsprechung bei der Handhabung der verschiedenen Anknüpfungsbegriffe (AHVG, UVG) mittels einer harmonisierenden Auslegung auf eine Koordination zwischen den verschiedenen Sozialversicherungszweigen hinzuwirken. Koordinationsgesichtspunkten ist vorab bei Erwerbstätigen Rechnung zu tragen,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unselbständige Erwerbstätigkeit, qualifiziert werden. Denn dies führt beim betreffenden Erwerbstätigen zu einem aufgesplitterten Versichertenstatus und damit zu Mehrfachversicherung, woraus einerseits unübersichtliche Leistungsansprüche gegenüber den Trägern der obligatorischen Arbeitnehmerversicherungen und anderseits Unklarheiten bezüglich Notwendigkeit und Umfang der freiwillig zu deckenden Risiken resultieren (a.a.O., S. 254 f.). Trotz den unterschiedlichen Anknüpfungsbegriffen des geltenden Rechts gebietet deshalb der Gesichtspunkt der Koordination, dass ein und dieselbe Erwerbstätigkeit in den einzelnen Zweigen des Sozialversicherungsrechts gleich gewertet wird, soweit dem nicht eine gesetzliche Regelung entgegensteht. Insoweit dem Urteil Feuille d'Avis vom 4. Oktober 1955 (ZAK 1955 S. 492) etwas anderes entnommen werden könnte, kann daran nicht festgehalten werden. c) Was hiegegen in der Verwaltungsgerichtsbeschwerde vorgebracht wird, vermag nicht zu einer anderen Beurteilung zu führen. Insbesondere kann die Rechtsnatur des Vertragsverhältnisses zwischen der Firma P. Verlag AG und U. K. offengelassen werden, da für die Beurteilung der beitragsrechtlichen Stellung nicht von der gewillkürten, sondern von der tatsächlichen Ausgestaltung der gegenseitigen Rechtsbeziehungen auszugehen ist (E. 2). Ebensowenig BGE 119 V 161 S. 165 entscheidend ist das Verhältnis zwischen den in Frage stehenden Honorierungen zur Gesamtsumme der Erwerbseinkünfte. Denn nach Art. 4 Abs. 1 AHVG unterliegen der sozialversicherungsrechtlichen Beitragspflicht grundsätzlich alle Einkünfte, die sich aus irgendeiner auf Erwerb gerichteten Tätigkeit ergeben, gleichgültig ob diese im Haupt- oder Nebenberuf, selbständig oder unselbständig, regelmässig oder nur einmalig ausgeübt wird ( BGE 104 V 127 E. b; ZAK 1984 S. 224 E. 1b mit Hinweisen). Die Tatsache, dass ein Versicherter nur nebenberuflich journalistisch tätig ist, in seinem Hauptberuf jedoch als Selbständigerwerbender einer Ausgleichskasse angeschlossen ist, hat somit für die Qualifikation eines Entgelts AHV-rechtlich keine Bedeutung. Schliesslich stellt die Entwicklung der Auftragslage und das damit zusammenhängende finanzielle Risiko kein erhebliches Geschäftsrisiko dar. Wie erwähnt (E. 3b), ist die Abhängigkeit der eigenen Existenz vom persönlichen Arbeitserfolg praxisgemäss nur dann als Risiko eines Selbständigerwerbenden zu werten, wenn beträchtliche Investitionen zu tätigen oder Angestelltenlöhne zu bezahlen sind. Mit einem Arbeits- und Lohnausfall müssen alle jene Personen rechnen, die ihre berufliche Tätigkeit von Fall zu Fall ausüben und nicht in einem fest entlöhnten Arbeitsverhältnis stehen (ZAK 1964 S. 541). Allein der Umstand, dass der Mitinteressierte über ein eigenes Büro mit Dokumentation verfügt, kann nicht als erhebliche Investition im Sinne der Rechtsprechung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